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jc w:val="center"/>
      </w:pPr>
      <w:r>
        <w:rPr>
          <w:b/>
          <w:bCs/>
          <w:color w:val="1565C0"/>
          <w:sz w:val="40"/>
          <w:szCs w:val="40"/>
        </w:rPr>
        <w:t xml:space="preserve">CHARTE INFORMATIQUE</w:t>
      </w:r>
    </w:p>
    <w:p>
      <w:pPr>
        <w:spacing w:after="120"/>
        <w:jc w:val="center"/>
      </w:pPr>
      <w:r>
        <w:rPr>
          <w:sz w:val="26"/>
          <w:szCs w:val="26"/>
        </w:rPr>
        <w:t xml:space="preserve">Règles d’utilisation des outils numériques et du système d’information</w:t>
      </w:r>
    </w:p>
    <w:p>
      <w:pPr>
        <w:spacing w:after="480"/>
        <w:jc w:val="center"/>
      </w:pPr>
      <w:r>
        <w:rPr>
          <w:highlight w:val="yellow"/>
          <w:highlightCs w:val="yellow"/>
        </w:rPr>
        <w:t xml:space="preserve">[NOM DE L’ENTREPRISE]</w:t>
      </w:r>
      <w:r>
        <w:t xml:space="preserve"> – Version </w:t>
      </w:r>
      <w:r>
        <w:rPr>
          <w:highlight w:val="yellow"/>
          <w:highlightCs w:val="yellow"/>
        </w:rPr>
        <w:t xml:space="preserve">[1.0]</w:t>
      </w:r>
      <w:r>
        <w:t xml:space="preserve"> – En vigueur au </w:t>
      </w:r>
      <w:r>
        <w:rPr>
          <w:highlight w:val="yellow"/>
          <w:highlightCs w:val="yellow"/>
        </w:rPr>
        <w:t xml:space="preserve">[JJ/MM/AAAA]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1565C0" w:sz="6"/>
              <w:left w:val="single" w:color="1565C0" w:sz="6"/>
              <w:bottom w:val="single" w:color="1565C0" w:sz="6"/>
              <w:right w:val="single" w:color="1565C0" w:sz="6"/>
            </w:tcBorders>
            <w:shd w:fill="E3F2FD" w:color="auto" w:val="clear"/>
            <w:tcMar>
              <w:top w:type="dxa" w:w="160"/>
              <w:left w:type="dxa" w:w="200"/>
              <w:bottom w:type="dxa" w:w="160"/>
              <w:right w:type="dxa" w:w="200"/>
            </w:tcMar>
          </w:tcPr>
          <w:p>
            <w:pPr>
              <w:spacing w:after="120" w:line="300"/>
            </w:pPr>
            <w:r>
              <w:rPr>
                <w:b/>
                <w:bCs/>
                <w:color w:val="1565C0"/>
              </w:rPr>
              <w:t xml:space="preserve">Mode d’emploi (à supprimer avant diffusion)</w:t>
            </w:r>
          </w:p>
          <w:p>
            <w:pPr>
              <w:spacing w:after="120" w:line="300"/>
            </w:pPr>
            <w:r>
              <w:t xml:space="preserve">Ce modèle est fourni par ONYX-CYBER comme base de travail pour une PME. Les passages surlignés en jaune sont à compléter ou à adapter à votre organisation. Supprimez les articles qui ne vous concernent pas (par exemple le télétravail ou l’usage des équipements personnels) plutôt que de les laisser vides.</w:t>
            </w:r>
          </w:p>
          <w:p>
            <w:pPr>
              <w:spacing w:after="120" w:line="300"/>
            </w:pPr>
            <w:r>
              <w:t xml:space="preserve">Pour être opposable aux salariés, la charte doit suivre une procédure précise : dans les entreprises d’au moins 50 salariés, elle est en principe annexée au règlement intérieur, après consultation du CSE, communication à l’inspection du travail et dépôt au greffe du conseil de prud’hommes. Dans tous les cas, chaque salarié doit en être informé individuellement (signature de l’accusé de réception en dernière page).</w:t>
            </w:r>
          </w:p>
          <w:p>
            <w:pPr>
              <w:spacing w:after="120" w:line="300"/>
            </w:pPr>
            <w:r>
              <w:rPr>
                <w:i/>
                <w:iCs/>
              </w:rPr>
              <w:t xml:space="preserve">Ce document ne constitue pas un conseil juridique. Faites-le relire par votre conseil (avocat, expert-comptable ou service RH) avant de le mettre en application.</w:t>
            </w:r>
          </w:p>
        </w:tc>
      </w:tr>
    </w:tbl>
    <w:p>
      <w:pPr>
        <w:pStyle w:val="Heading1"/>
        <w:spacing w:after="160" w:before="360"/>
      </w:pPr>
      <w:r>
        <w:t xml:space="preserve">Préambule</w:t>
      </w:r>
    </w:p>
    <w:p>
      <w:pPr>
        <w:spacing w:after="120" w:line="300"/>
      </w:pPr>
      <w:r>
        <w:rPr>
          <w:highlight w:val="yellow"/>
          <w:highlightCs w:val="yellow"/>
        </w:rPr>
        <w:t xml:space="preserve">[NOM DE L’ENTREPRISE]</w:t>
      </w:r>
      <w:r>
        <w:t xml:space="preserve"> (ci-après « l’Entreprise ») met à la disposition de ses collaborateurs des outils numériques indispensables à leur activité : postes de travail, téléphones, messagerie, accès Internet, applications et services en ligne. Ces outils sont aussi la porte d’entrée privilégiée des cyberattaques. Une seule erreur, comme un mot de passe réutilisé ou une pièce jointe piégée, peut paralyser toute l’activité.</w:t>
      </w:r>
    </w:p>
    <w:p>
      <w:pPr>
        <w:spacing w:after="120" w:line="300"/>
      </w:pPr>
      <w:r>
        <w:t xml:space="preserve">La présente charte a pour objet de fixer des règles claires, connues de tous, pour protéger l’Entreprise, ses clients et ses collaborateurs, tout en respectant la vie privée de chacun. Elle complète la politique de sécurité des systèmes d’information (PSSI) de l’Entreprise, lorsqu’elle existe.</w:t>
      </w:r>
    </w:p>
    <w:p>
      <w:pPr>
        <w:pStyle w:val="Heading1"/>
        <w:spacing w:after="160" w:before="360"/>
      </w:pPr>
      <w:r>
        <w:t xml:space="preserve">Article 1 – Champ d’application</w:t>
      </w:r>
    </w:p>
    <w:p>
      <w:pPr>
        <w:spacing w:after="120" w:line="300"/>
      </w:pPr>
      <w:r>
        <w:t xml:space="preserve">La charte s’applique à toute personne qui utilise le système d’information de l’Entreprise, quel que soit son statut : salariés, dirigeants, stagiaires, alternants, intérimaires, ainsi que les prestataires et sous-traitants dans le cadre de leur mission (ci-après « les Utilisateurs »).</w:t>
      </w:r>
    </w:p>
    <w:p>
      <w:pPr>
        <w:spacing w:after="120" w:line="300"/>
      </w:pPr>
      <w:r>
        <w:t xml:space="preserve">Elle couvre l’ensemble des moyens informatiques et de communication fournis par l’Entreprise ou utilisés pour accéder à ses données, que ce soit dans les locaux, en télétravail ou en déplacement.</w:t>
      </w:r>
    </w:p>
    <w:p>
      <w:pPr>
        <w:pStyle w:val="Heading1"/>
        <w:spacing w:after="160" w:before="360"/>
      </w:pPr>
      <w:r>
        <w:t xml:space="preserve">Article 2 – Définitions</w:t>
      </w:r>
    </w:p>
    <w:p>
      <w:pPr>
        <w:pStyle w:val="ListParagraph"/>
        <w:numPr>
          <w:ilvl w:val="0"/>
          <w:numId w:val="2"/>
        </w:numPr>
        <w:spacing w:after="80" w:line="290"/>
      </w:pPr>
      <w:r>
        <w:rPr>
          <w:b/>
          <w:bCs/>
        </w:rPr>
        <w:t xml:space="preserve">Système d’information : </w:t>
      </w:r>
      <w:r>
        <w:t xml:space="preserve">l’ensemble des matériels, logiciels, réseaux, services en ligne et données de l’Entreprise.</w:t>
      </w:r>
    </w:p>
    <w:p>
      <w:pPr>
        <w:pStyle w:val="ListParagraph"/>
        <w:numPr>
          <w:ilvl w:val="0"/>
          <w:numId w:val="2"/>
        </w:numPr>
        <w:spacing w:after="80" w:line="290"/>
      </w:pPr>
      <w:r>
        <w:rPr>
          <w:b/>
          <w:bCs/>
        </w:rPr>
        <w:t xml:space="preserve">Moyens informatiques : </w:t>
      </w:r>
      <w:r>
        <w:t xml:space="preserve">postes fixes et portables, téléphones, tablettes, imprimantes, supports de stockage, comptes et applications mis à disposition.</w:t>
      </w:r>
    </w:p>
    <w:p>
      <w:pPr>
        <w:pStyle w:val="ListParagraph"/>
        <w:numPr>
          <w:ilvl w:val="0"/>
          <w:numId w:val="2"/>
        </w:numPr>
        <w:spacing w:after="80" w:line="290"/>
      </w:pPr>
      <w:r>
        <w:rPr>
          <w:b/>
          <w:bCs/>
        </w:rPr>
        <w:t xml:space="preserve">Référent informatique : </w:t>
      </w:r>
      <w:r>
        <w:t xml:space="preserve">la personne ou le prestataire désigné par l’Entreprise pour gérer le système d’information : </w:t>
      </w:r>
      <w:r>
        <w:rPr>
          <w:highlight w:val="yellow"/>
          <w:highlightCs w:val="yellow"/>
        </w:rPr>
        <w:t xml:space="preserve">[NOM / SOCIÉTÉ, COORDONNÉES]</w:t>
      </w:r>
      <w:r>
        <w:t xml:space="preserve">.</w:t>
      </w:r>
    </w:p>
    <w:p>
      <w:pPr>
        <w:pStyle w:val="Heading1"/>
        <w:spacing w:after="160" w:before="360"/>
      </w:pPr>
      <w:r>
        <w:t xml:space="preserve">Article 3 – Accès et authentification</w:t>
      </w:r>
    </w:p>
    <w:p>
      <w:pPr>
        <w:pStyle w:val="ListParagraph"/>
        <w:numPr>
          <w:ilvl w:val="0"/>
          <w:numId w:val="2"/>
        </w:numPr>
        <w:spacing w:after="80" w:line="290"/>
      </w:pPr>
      <w:r>
        <w:t xml:space="preserve">Chaque Utilisateur dispose d’identifiants personnels. Ils sont strictement confidentiels et ne doivent jamais être communiqués, y compris à un collègue ou à une personne se présentant comme un technicien.</w:t>
      </w:r>
    </w:p>
    <w:p>
      <w:pPr>
        <w:pStyle w:val="ListParagraph"/>
        <w:numPr>
          <w:ilvl w:val="0"/>
          <w:numId w:val="2"/>
        </w:numPr>
        <w:spacing w:after="80" w:line="290"/>
      </w:pPr>
      <w:r>
        <w:t xml:space="preserve">Les mots de passe comportent au moins </w:t>
      </w:r>
      <w:r>
        <w:rPr>
          <w:highlight w:val="yellow"/>
          <w:highlightCs w:val="yellow"/>
        </w:rPr>
        <w:t xml:space="preserve">[12]</w:t>
      </w:r>
      <w:r>
        <w:t xml:space="preserve"> caractères, sont propres à chaque service et ne sont jamais réutilisés pour un usage personnel. L’utilisation du gestionnaire de mots de passe fourni par l’Entreprise est recommandée.</w:t>
      </w:r>
    </w:p>
    <w:p>
      <w:pPr>
        <w:pStyle w:val="ListParagraph"/>
        <w:numPr>
          <w:ilvl w:val="0"/>
          <w:numId w:val="2"/>
        </w:numPr>
        <w:spacing w:after="80" w:line="290"/>
      </w:pPr>
      <w:r>
        <w:t xml:space="preserve">L’authentification à plusieurs facteurs (code ou validation sur téléphone) est obligatoire lorsqu’elle est proposée. Toute demande de validation que l’Utilisateur n’a pas initiée doit être refusée et signalée immédiatement.</w:t>
      </w:r>
    </w:p>
    <w:p>
      <w:pPr>
        <w:pStyle w:val="ListParagraph"/>
        <w:numPr>
          <w:ilvl w:val="0"/>
          <w:numId w:val="2"/>
        </w:numPr>
        <w:spacing w:after="80" w:line="290"/>
      </w:pPr>
      <w:r>
        <w:t xml:space="preserve">Le poste est verrouillé à chaque absence, même brève (touches Windows + L sur Windows).</w:t>
      </w:r>
    </w:p>
    <w:p>
      <w:pPr>
        <w:pStyle w:val="Heading1"/>
        <w:spacing w:after="160" w:before="360"/>
      </w:pPr>
      <w:r>
        <w:t xml:space="preserve">Article 4 – Utilisation des équipements</w:t>
      </w:r>
    </w:p>
    <w:p>
      <w:pPr>
        <w:pStyle w:val="ListParagraph"/>
        <w:numPr>
          <w:ilvl w:val="0"/>
          <w:numId w:val="2"/>
        </w:numPr>
        <w:spacing w:after="80" w:line="290"/>
      </w:pPr>
      <w:r>
        <w:t xml:space="preserve">Les équipements fournis sont destinés à un usage professionnel. Un usage personnel ponctuel et raisonnable est toléré, dès lors qu’il ne nuit ni à l’activité ni à la sécurité.</w:t>
      </w:r>
    </w:p>
    <w:p>
      <w:pPr>
        <w:pStyle w:val="ListParagraph"/>
        <w:numPr>
          <w:ilvl w:val="0"/>
          <w:numId w:val="2"/>
        </w:numPr>
        <w:spacing w:after="80" w:line="290"/>
      </w:pPr>
      <w:r>
        <w:t xml:space="preserve">L’installation de logiciels, d’extensions de navigateur ou d’applications est réservée au Référent informatique, ou soumise à son accord préalable.</w:t>
      </w:r>
    </w:p>
    <w:p>
      <w:pPr>
        <w:pStyle w:val="ListParagraph"/>
        <w:numPr>
          <w:ilvl w:val="0"/>
          <w:numId w:val="2"/>
        </w:numPr>
        <w:spacing w:after="80" w:line="290"/>
      </w:pPr>
      <w:r>
        <w:t xml:space="preserve">Les mises à jour de sécurité ne doivent pas être différées ni désactivées. L’antivirus ou l’outil de protection installé ne doit jamais être désactivé.</w:t>
      </w:r>
    </w:p>
    <w:p>
      <w:pPr>
        <w:pStyle w:val="ListParagraph"/>
        <w:numPr>
          <w:ilvl w:val="0"/>
          <w:numId w:val="2"/>
        </w:numPr>
        <w:spacing w:after="80" w:line="290"/>
      </w:pPr>
      <w:r>
        <w:t xml:space="preserve">Les clés USB et supports amovibles d’origine inconnue ne doivent pas être branchés sur un équipement de l’Entreprise.</w:t>
      </w:r>
    </w:p>
    <w:p>
      <w:pPr>
        <w:pStyle w:val="ListParagraph"/>
        <w:numPr>
          <w:ilvl w:val="0"/>
          <w:numId w:val="2"/>
        </w:numPr>
        <w:spacing w:after="80" w:line="290"/>
      </w:pPr>
      <w:r>
        <w:t xml:space="preserve">La perte ou le vol d’un équipement est signalé sans délai au Référent informatique, afin de bloquer les accès à distance.</w:t>
      </w:r>
    </w:p>
    <w:p>
      <w:pPr>
        <w:pStyle w:val="Heading1"/>
        <w:spacing w:after="160" w:before="360"/>
      </w:pPr>
      <w:r>
        <w:t xml:space="preserve">Article 5 – Messagerie électronique</w:t>
      </w:r>
    </w:p>
    <w:p>
      <w:pPr>
        <w:pStyle w:val="ListParagraph"/>
        <w:numPr>
          <w:ilvl w:val="0"/>
          <w:numId w:val="2"/>
        </w:numPr>
        <w:spacing w:after="80" w:line="290"/>
      </w:pPr>
      <w:r>
        <w:t xml:space="preserve">La messagerie professionnelle est réservée à un usage professionnel. Les messages à caractère personnel sont tolérés s’ils restent ponctuels ; ils doivent alors être identifiés comme tels, par exemple avec la mention « PERSONNEL » dans l’objet, ou classés dans un dossier nommé « PERSONNEL ».</w:t>
      </w:r>
    </w:p>
    <w:p>
      <w:pPr>
        <w:pStyle w:val="ListParagraph"/>
        <w:numPr>
          <w:ilvl w:val="0"/>
          <w:numId w:val="2"/>
        </w:numPr>
        <w:spacing w:after="80" w:line="290"/>
      </w:pPr>
      <w:r>
        <w:t xml:space="preserve">Tout message non identifié comme personnel est présumé professionnel et peut être consulté par l’Entreprise dans les conditions prévues à l’article 11.</w:t>
      </w:r>
    </w:p>
    <w:p>
      <w:pPr>
        <w:pStyle w:val="ListParagraph"/>
        <w:numPr>
          <w:ilvl w:val="0"/>
          <w:numId w:val="2"/>
        </w:numPr>
        <w:spacing w:after="80" w:line="290"/>
      </w:pPr>
      <w:r>
        <w:t xml:space="preserve">Le transfert automatique des messages professionnels vers une messagerie personnelle ou externe est interdit.</w:t>
      </w:r>
    </w:p>
    <w:p>
      <w:pPr>
        <w:pStyle w:val="ListParagraph"/>
        <w:numPr>
          <w:ilvl w:val="0"/>
          <w:numId w:val="2"/>
        </w:numPr>
        <w:spacing w:after="80" w:line="290"/>
      </w:pPr>
      <w:r>
        <w:t xml:space="preserve">Toute demande inhabituelle reçue par messagerie, téléphone ou SMS (virement urgent, changement de coordonnées bancaires d’un fournisseur, demande de confidentialité, envoi de codes) doit être vérifiée par un contre-appel à un numéro connu, jamais à celui indiqué dans le message.</w:t>
      </w:r>
    </w:p>
    <w:p>
      <w:pPr>
        <w:pStyle w:val="ListParagraph"/>
        <w:numPr>
          <w:ilvl w:val="0"/>
          <w:numId w:val="2"/>
        </w:numPr>
        <w:spacing w:after="80" w:line="290"/>
      </w:pPr>
      <w:r>
        <w:t xml:space="preserve">Les messages suspects (expéditeur inconnu, lien ou pièce jointe inattendus, faute d’orthographe, urgence) ne doivent pas être ouverts ; ils sont signalés au Référent informatique.</w:t>
      </w:r>
    </w:p>
    <w:p>
      <w:pPr>
        <w:pStyle w:val="Heading1"/>
        <w:spacing w:after="160" w:before="360"/>
      </w:pPr>
      <w:r>
        <w:t xml:space="preserve">Article 6 – Internet, réseaux sociaux et intelligence artificielle</w:t>
      </w:r>
    </w:p>
    <w:p>
      <w:pPr>
        <w:pStyle w:val="ListParagraph"/>
        <w:numPr>
          <w:ilvl w:val="0"/>
          <w:numId w:val="2"/>
        </w:numPr>
        <w:spacing w:after="80" w:line="290"/>
      </w:pPr>
      <w:r>
        <w:t xml:space="preserve">L’accès à Internet est fourni pour les besoins professionnels. La consultation de sites à caractère illicite, violent, pornographique, discriminatoire ou de téléchargement illégal est interdite.</w:t>
      </w:r>
    </w:p>
    <w:p>
      <w:pPr>
        <w:pStyle w:val="ListParagraph"/>
        <w:numPr>
          <w:ilvl w:val="0"/>
          <w:numId w:val="2"/>
        </w:numPr>
        <w:spacing w:after="80" w:line="290"/>
      </w:pPr>
      <w:r>
        <w:t xml:space="preserve">Les Utilisateurs s’abstiennent de publier sur les réseaux sociaux des informations confidentielles sur l’Entreprise, ses clients ou ses projets, ainsi que des éléments facilitant une attaque (organigramme détaillé, outils utilisés, absences du dirigeant).</w:t>
      </w:r>
    </w:p>
    <w:p>
      <w:pPr>
        <w:pStyle w:val="ListParagraph"/>
        <w:numPr>
          <w:ilvl w:val="0"/>
          <w:numId w:val="2"/>
        </w:numPr>
        <w:spacing w:after="80" w:line="290"/>
      </w:pPr>
      <w:r>
        <w:t xml:space="preserve">Aucune donnée confidentielle, personnelle ou relative aux clients ne doit être saisie dans un outil d’intelligence artificielle générative (assistant conversationnel, traducteur ou outil de rédaction en ligne) qui n’a pas été validé par l’Entreprise. Outils autorisés : </w:t>
      </w:r>
      <w:r>
        <w:rPr>
          <w:highlight w:val="yellow"/>
          <w:highlightCs w:val="yellow"/>
        </w:rPr>
        <w:t xml:space="preserve">[LISTE]</w:t>
      </w:r>
      <w:r>
        <w:t xml:space="preserve">.</w:t>
      </w:r>
    </w:p>
    <w:p>
      <w:pPr>
        <w:pStyle w:val="Heading1"/>
        <w:spacing w:after="160" w:before="360"/>
      </w:pPr>
      <w:r>
        <w:t xml:space="preserve">Article 7 – Télétravail, mobilité et équipements personnels</w:t>
      </w:r>
    </w:p>
    <w:p>
      <w:pPr>
        <w:pStyle w:val="ListParagraph"/>
        <w:numPr>
          <w:ilvl w:val="0"/>
          <w:numId w:val="2"/>
        </w:numPr>
        <w:spacing w:after="80" w:line="290"/>
      </w:pPr>
      <w:r>
        <w:t xml:space="preserve">En dehors des locaux, l’accès au système d’information se fait uniquement par les moyens sécurisés fournis par l’Entreprise : </w:t>
      </w:r>
      <w:r>
        <w:rPr>
          <w:highlight w:val="yellow"/>
          <w:highlightCs w:val="yellow"/>
        </w:rPr>
        <w:t xml:space="preserve">[VPN, ACCÈS DISTANT, ETC.]</w:t>
      </w:r>
      <w:r>
        <w:t xml:space="preserve">.</w:t>
      </w:r>
    </w:p>
    <w:p>
      <w:pPr>
        <w:pStyle w:val="ListParagraph"/>
        <w:numPr>
          <w:ilvl w:val="0"/>
          <w:numId w:val="2"/>
        </w:numPr>
        <w:spacing w:after="80" w:line="290"/>
      </w:pPr>
      <w:r>
        <w:t xml:space="preserve">Les réseaux Wi-Fi publics (hôtels, gares, cafés) ne sont utilisés qu’avec le VPN activé, ou à défaut via le partage de connexion du téléphone professionnel.</w:t>
      </w:r>
    </w:p>
    <w:p>
      <w:pPr>
        <w:pStyle w:val="ListParagraph"/>
        <w:numPr>
          <w:ilvl w:val="0"/>
          <w:numId w:val="2"/>
        </w:numPr>
        <w:spacing w:after="80" w:line="290"/>
      </w:pPr>
      <w:r>
        <w:t xml:space="preserve">L’écran est protégé des regards dans les lieux publics, et les équipements ne sont jamais laissés sans surveillance.</w:t>
      </w:r>
    </w:p>
    <w:p>
      <w:pPr>
        <w:pStyle w:val="ListParagraph"/>
        <w:numPr>
          <w:ilvl w:val="0"/>
          <w:numId w:val="2"/>
        </w:numPr>
        <w:spacing w:after="80" w:line="290"/>
      </w:pPr>
      <w:r>
        <w:t xml:space="preserve">L’utilisation d’un équipement personnel (ordinateur, téléphone) pour accéder aux données de l’Entreprise est </w:t>
      </w:r>
      <w:r>
        <w:rPr>
          <w:highlight w:val="yellow"/>
          <w:highlightCs w:val="yellow"/>
        </w:rPr>
        <w:t xml:space="preserve">[INTERDITE / SOUMISE À L’ACCORD DU RÉFÉRENT ET À DES MESURES DE SÉCURITÉ MINIMALES]</w:t>
      </w:r>
      <w:r>
        <w:t xml:space="preserve">.</w:t>
      </w:r>
    </w:p>
    <w:p>
      <w:pPr>
        <w:pStyle w:val="Heading1"/>
        <w:spacing w:after="160" w:before="360"/>
      </w:pPr>
      <w:r>
        <w:t xml:space="preserve">Article 8 – Données et confidentialité</w:t>
      </w:r>
    </w:p>
    <w:p>
      <w:pPr>
        <w:pStyle w:val="ListParagraph"/>
        <w:numPr>
          <w:ilvl w:val="0"/>
          <w:numId w:val="2"/>
        </w:numPr>
        <w:spacing w:after="80" w:line="290"/>
      </w:pPr>
      <w:r>
        <w:t xml:space="preserve">Les documents professionnels sont enregistrés dans les espaces de stockage de l’Entreprise, qui sont sauvegardés, et non sur des services personnels (messagerie, stockage en ligne ou clé USB personnels).</w:t>
      </w:r>
    </w:p>
    <w:p>
      <w:pPr>
        <w:pStyle w:val="ListParagraph"/>
        <w:numPr>
          <w:ilvl w:val="0"/>
          <w:numId w:val="2"/>
        </w:numPr>
        <w:spacing w:after="80" w:line="290"/>
      </w:pPr>
      <w:r>
        <w:t xml:space="preserve">Le partage de documents avec l’extérieur se fait par les outils fournis, avec un accès limité aux seules personnes concernées et, si possible, une date d’expiration.</w:t>
      </w:r>
    </w:p>
    <w:p>
      <w:pPr>
        <w:pStyle w:val="ListParagraph"/>
        <w:numPr>
          <w:ilvl w:val="0"/>
          <w:numId w:val="2"/>
        </w:numPr>
        <w:spacing w:after="80" w:line="290"/>
      </w:pPr>
      <w:r>
        <w:t xml:space="preserve">Les données personnelles (clients, salariés, prospects) sont traitées dans le respect du RGPD et des instructions de l’Entreprise. Toute perte, fuite ou accès non autorisé est signalé immédiatement, l’Entreprise disposant de 72 heures pour notifier la CNIL lorsque cela est requis.</w:t>
      </w:r>
    </w:p>
    <w:p>
      <w:pPr>
        <w:pStyle w:val="Heading1"/>
        <w:spacing w:after="160" w:before="360"/>
      </w:pPr>
      <w:r>
        <w:t xml:space="preserve">Article 9 – Signalement des incidents</w:t>
      </w:r>
    </w:p>
    <w:p>
      <w:pPr>
        <w:spacing w:after="120" w:line="300"/>
      </w:pPr>
      <w:r>
        <w:t xml:space="preserve">Tout Utilisateur qui constate ou soupçonne un incident de sécurité (message suspect ouvert, comportement anormal du poste, message de rançon, perte d’équipement, identifiants communiqués par erreur) le signale immédiatement, sans chercher à le résoudre seul et sans éteindre le poste : </w:t>
      </w:r>
      <w:r>
        <w:rPr>
          <w:highlight w:val="yellow"/>
          <w:highlightCs w:val="yellow"/>
        </w:rPr>
        <w:t xml:space="preserve">[CONTACT, TÉLÉPHONE, ADRESSE MAIL]</w:t>
      </w:r>
      <w:r>
        <w:t xml:space="preserve">.</w:t>
      </w:r>
    </w:p>
    <w:p>
      <w:pPr>
        <w:spacing w:after="120" w:line="300"/>
      </w:pPr>
      <w:r>
        <w:t xml:space="preserve">Aucun reproche ne sera adressé à un Utilisateur qui signale de bonne foi une erreur qu’il a commise : un signalement rapide limite considérablement les dégâts.</w:t>
      </w:r>
    </w:p>
    <w:p>
      <w:pPr>
        <w:pStyle w:val="Heading1"/>
        <w:spacing w:after="160" w:before="360"/>
      </w:pPr>
      <w:r>
        <w:t xml:space="preserve">Article 10 – Administration du système d’information</w:t>
      </w:r>
    </w:p>
    <w:p>
      <w:pPr>
        <w:spacing w:after="120" w:line="300"/>
      </w:pPr>
      <w:r>
        <w:t xml:space="preserve">Le Référent informatique et les prestataires habilités disposent d’accès étendus pour assurer le bon fonctionnement et la sécurité du système d’information. Ils sont tenus à une obligation de confidentialité sur les informations dont ils prennent connaissance à cette occasion et ne les utilisent que pour les besoins de leur mission.</w:t>
      </w:r>
    </w:p>
    <w:p>
      <w:pPr>
        <w:pStyle w:val="Heading1"/>
        <w:spacing w:after="160" w:before="360"/>
      </w:pPr>
      <w:r>
        <w:t xml:space="preserve">Article 11 – Contrôles et traçabilité</w:t>
      </w:r>
    </w:p>
    <w:p>
      <w:pPr>
        <w:spacing w:after="120" w:line="300"/>
      </w:pPr>
      <w:r>
        <w:t xml:space="preserve">Pour garantir la sécurité du système d’information, l’Entreprise met en œuvre des dispositifs de journalisation et de surveillance, dont la liste est la suivante :</w:t>
      </w:r>
    </w:p>
    <w:p>
      <w:pPr>
        <w:pStyle w:val="ListParagraph"/>
        <w:numPr>
          <w:ilvl w:val="0"/>
          <w:numId w:val="2"/>
        </w:numPr>
        <w:spacing w:after="80" w:line="290"/>
      </w:pPr>
      <w:r>
        <w:rPr>
          <w:highlight w:val="yellow"/>
          <w:highlightCs w:val="yellow"/>
        </w:rPr>
        <w:t xml:space="preserve">[EXEMPLES : journaux de connexion aux comptes et applications, détection des menaces sur les postes (EDR), filtrage de la messagerie et des sites web, supervision de sécurité par un prestataire]</w:t>
      </w:r>
    </w:p>
    <w:p>
      <w:pPr>
        <w:spacing w:after="120" w:line="300"/>
      </w:pPr>
      <w:r>
        <w:t xml:space="preserve">Ces dispositifs ont pour seules finalités la sécurité du système d’information, la détection des incidents et le respect de la présente charte. Les journaux sont conservés </w:t>
      </w:r>
      <w:r>
        <w:rPr>
          <w:highlight w:val="yellow"/>
          <w:highlightCs w:val="yellow"/>
        </w:rPr>
        <w:t xml:space="preserve">[6 MOIS / 1 AN]</w:t>
      </w:r>
      <w:r>
        <w:t xml:space="preserve"> au maximum. Les contrôles individuels sont proportionnés au but recherché, et les fichiers ou messages identifiés comme « PERSONNEL » ne sont ouverts qu’en présence de l’Utilisateur ou après l’avoir dûment appelé, sauf risque ou événement particulier.</w:t>
      </w:r>
    </w:p>
    <w:p>
      <w:pPr>
        <w:spacing w:after="120" w:line="300"/>
      </w:pPr>
      <w:r>
        <w:t xml:space="preserve">Conformément au Code du travail, aucun dispositif de collecte d’informations concernant personnellement un salarié n’est mis en place sans que celui-ci en ait été préalablement informé. Les Utilisateurs disposent des droits prévus par le RGPD sur leurs données, qu’ils exercent auprès de : </w:t>
      </w:r>
    </w:p>
    <w:p>
      <w:pPr>
        <w:spacing w:after="120" w:line="300"/>
      </w:pPr>
      <w:r>
        <w:rPr>
          <w:highlight w:val="yellow"/>
          <w:highlightCs w:val="yellow"/>
        </w:rPr>
        <w:t xml:space="preserve">[CONTACT RGPD / DPO]</w:t>
      </w:r>
    </w:p>
    <w:p>
      <w:pPr>
        <w:pStyle w:val="Heading1"/>
        <w:spacing w:after="160" w:before="360"/>
      </w:pPr>
      <w:r>
        <w:t xml:space="preserve">Article 12 – Départ de l’Utilisateur</w:t>
      </w:r>
    </w:p>
    <w:p>
      <w:pPr>
        <w:pStyle w:val="ListParagraph"/>
        <w:numPr>
          <w:ilvl w:val="0"/>
          <w:numId w:val="2"/>
        </w:numPr>
        <w:spacing w:after="80" w:line="290"/>
      </w:pPr>
      <w:r>
        <w:t xml:space="preserve">Au départ de l’Utilisateur, l’ensemble des équipements, badges et supports lui ayant été confiés sont restitués.</w:t>
      </w:r>
    </w:p>
    <w:p>
      <w:pPr>
        <w:pStyle w:val="ListParagraph"/>
        <w:numPr>
          <w:ilvl w:val="0"/>
          <w:numId w:val="2"/>
        </w:numPr>
        <w:spacing w:after="80" w:line="290"/>
      </w:pPr>
      <w:r>
        <w:t xml:space="preserve">Ses accès sont désactivés au plus tard le jour de son départ.</w:t>
      </w:r>
    </w:p>
    <w:p>
      <w:pPr>
        <w:pStyle w:val="ListParagraph"/>
        <w:numPr>
          <w:ilvl w:val="0"/>
          <w:numId w:val="2"/>
        </w:numPr>
        <w:spacing w:after="80" w:line="290"/>
      </w:pPr>
      <w:r>
        <w:t xml:space="preserve">L’Utilisateur peut récupérer ses éventuelles données personnelles avant son départ. Passé un délai de </w:t>
      </w:r>
      <w:r>
        <w:rPr>
          <w:highlight w:val="yellow"/>
          <w:highlightCs w:val="yellow"/>
        </w:rPr>
        <w:t xml:space="preserve">[15 JOURS]</w:t>
      </w:r>
      <w:r>
        <w:t xml:space="preserve">, les données restantes de sa messagerie et de ses espaces personnels peuvent être supprimées.</w:t>
      </w:r>
    </w:p>
    <w:p>
      <w:pPr>
        <w:pStyle w:val="Heading1"/>
        <w:spacing w:after="160" w:before="360"/>
      </w:pPr>
      <w:r>
        <w:t xml:space="preserve">Article 13 – Sanctions</w:t>
      </w:r>
    </w:p>
    <w:p>
      <w:pPr>
        <w:spacing w:after="120" w:line="300"/>
      </w:pPr>
      <w:r>
        <w:t xml:space="preserve">Le non-respect de la présente charte peut entraîner, outre la suspension des accès, des sanctions disciplinaires proportionnées à la gravité des faits, dans les conditions prévues par le règlement intérieur et le Code du travail, sans préjudice d’éventuelles poursuites civiles ou pénales.</w:t>
      </w:r>
    </w:p>
    <w:p>
      <w:pPr>
        <w:pStyle w:val="Heading1"/>
        <w:spacing w:after="160" w:before="360"/>
      </w:pPr>
      <w:r>
        <w:t xml:space="preserve">Article 14 – Entrée en vigueur et révision</w:t>
      </w:r>
    </w:p>
    <w:p>
      <w:pPr>
        <w:spacing w:after="120" w:line="300"/>
      </w:pPr>
      <w:r>
        <w:t xml:space="preserve">La présente charte entre en vigueur le </w:t>
      </w:r>
      <w:r>
        <w:rPr>
          <w:highlight w:val="yellow"/>
          <w:highlightCs w:val="yellow"/>
        </w:rPr>
        <w:t xml:space="preserve">[JJ/MM/AAAA]</w:t>
      </w:r>
      <w:r>
        <w:t xml:space="preserve">. Elle est </w:t>
      </w:r>
      <w:r>
        <w:rPr>
          <w:highlight w:val="yellow"/>
          <w:highlightCs w:val="yellow"/>
        </w:rPr>
        <w:t xml:space="preserve">[annexée au règlement intérieur / remise à chaque Utilisateur contre signature]</w:t>
      </w:r>
      <w:r>
        <w:t xml:space="preserve"> et révisée au moins une fois par an, ainsi qu’à chaque évolution significative du système d’information. Toute modification est portée à la connaissance des Utilisateurs.</w:t>
      </w:r>
    </w:p>
    <w:p>
      <w:pPr>
        <w:pStyle w:val="Heading1"/>
        <w:pageBreakBefore/>
        <w:spacing w:after="240"/>
      </w:pPr>
      <w:r>
        <w:t xml:space="preserve">Accusé de réception</w:t>
      </w:r>
    </w:p>
    <w:p>
      <w:pPr>
        <w:spacing w:after="120" w:line="300"/>
      </w:pPr>
      <w:r>
        <w:t xml:space="preserve">Je soussigné(e) :</w:t>
      </w:r>
    </w:p>
    <w:p>
      <w:pPr>
        <w:spacing w:after="120" w:line="300"/>
      </w:pPr>
      <w:r>
        <w:t xml:space="preserve">Nom et prénom : ……………………………………………………………………………</w:t>
      </w:r>
    </w:p>
    <w:p>
      <w:pPr>
        <w:spacing w:after="120" w:line="300"/>
      </w:pPr>
      <w:r>
        <w:t xml:space="preserve">Fonction : ……………………………………………………………………………………</w:t>
      </w:r>
    </w:p>
    <w:p>
      <w:pPr>
        <w:spacing w:after="120" w:line="300"/>
      </w:pPr>
      <w:r>
        <w:t xml:space="preserve">reconnais avoir reçu un exemplaire de la charte informatique de </w:t>
      </w:r>
      <w:r>
        <w:rPr>
          <w:highlight w:val="yellow"/>
          <w:highlightCs w:val="yellow"/>
        </w:rPr>
        <w:t xml:space="preserve">[NOM DE L’ENTREPRISE]</w:t>
      </w:r>
      <w:r>
        <w:t xml:space="preserve"> (version </w:t>
      </w:r>
      <w:r>
        <w:rPr>
          <w:highlight w:val="yellow"/>
          <w:highlightCs w:val="yellow"/>
        </w:rPr>
        <w:t xml:space="preserve">[1.0]</w:t>
      </w:r>
      <w:r>
        <w:t xml:space="preserve">), en avoir pris connaissance et m’engage à la respecter.</w:t>
      </w:r>
    </w:p>
    <w:p>
      <w:pPr>
        <w:spacing w:after="120" w:line="300"/>
      </w:pPr>
      <w:r>
        <w:t xml:space="preserve"> </w:t>
      </w:r>
    </w:p>
    <w:p>
      <w:pPr>
        <w:spacing w:after="120" w:line="300"/>
      </w:pPr>
      <w:r>
        <w:t xml:space="preserve">Fait à …………………………………, le ……… / ……… / …………</w:t>
      </w:r>
    </w:p>
    <w:p>
      <w:pPr>
        <w:spacing w:after="120" w:line="300"/>
      </w:pPr>
      <w:r>
        <w:t xml:space="preserve"> </w:t>
      </w:r>
    </w:p>
    <w:p>
      <w:pPr>
        <w:spacing w:after="120" w:line="300"/>
      </w:pPr>
      <w:r>
        <w:t xml:space="preserve">Signature, précédée de la mention « Lu et approuvé » :</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Charte informatique – modèle proposé par ONYX-CYBER (onyx-cyber.com)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b/>
      <w:bCs/>
      <w:color w:val="1565C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charte informatique pour PME</dc:title>
  <dc:creator>ONYX-CYBER</dc:creator>
  <dc:description>Modèle de charte informatique ONYX-CYBER</dc:description>
  <cp:lastModifiedBy>Un-named</cp:lastModifiedBy>
  <cp:revision>1</cp:revision>
  <dcterms:created xsi:type="dcterms:W3CDTF">2026-10-18T11:35:14.458Z</dcterms:created>
  <dcterms:modified xsi:type="dcterms:W3CDTF">2026-10-18T11:35:14.463Z</dcterms:modified>
</cp:coreProperties>
</file>

<file path=docProps/custom.xml><?xml version="1.0" encoding="utf-8"?>
<Properties xmlns="http://schemas.openxmlformats.org/officeDocument/2006/custom-properties" xmlns:vt="http://schemas.openxmlformats.org/officeDocument/2006/docPropsVTypes"/>
</file>